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A759536" w:rsidR="005241A2" w:rsidRPr="00BF1C46" w:rsidRDefault="00B9151F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B9151F">
              <w:rPr>
                <w:b/>
                <w:bCs/>
                <w:color w:val="0070C0"/>
                <w:sz w:val="28"/>
                <w:szCs w:val="28"/>
              </w:rPr>
              <w:t>A</w:t>
            </w:r>
            <w:r w:rsidR="00FC64A7">
              <w:rPr>
                <w:b/>
                <w:bCs/>
                <w:color w:val="0070C0"/>
                <w:sz w:val="28"/>
                <w:szCs w:val="28"/>
              </w:rPr>
              <w:t>6</w:t>
            </w:r>
            <w:r w:rsidRPr="00B9151F">
              <w:rPr>
                <w:b/>
                <w:bCs/>
                <w:color w:val="0070C0"/>
                <w:sz w:val="28"/>
                <w:szCs w:val="28"/>
              </w:rPr>
              <w:t>)</w:t>
            </w:r>
            <w:r w:rsidRPr="00B9151F">
              <w:rPr>
                <w:b/>
                <w:bCs/>
                <w:color w:val="0070C0"/>
                <w:sz w:val="28"/>
                <w:szCs w:val="28"/>
              </w:rPr>
              <w:tab/>
            </w:r>
            <w:r w:rsidR="00FC64A7">
              <w:t xml:space="preserve"> </w:t>
            </w:r>
            <w:r w:rsidR="00FC64A7" w:rsidRPr="00FC64A7">
              <w:rPr>
                <w:b/>
                <w:bCs/>
                <w:color w:val="0070C0"/>
                <w:sz w:val="28"/>
                <w:szCs w:val="28"/>
              </w:rPr>
              <w:t>Zprávy o činnosti poradních orgánů Rady pro výzkum, vývoj a inovace a návrh na stanovení odměn za výkon veřejné funkce členů poradních orgánů za rok 202</w:t>
            </w:r>
            <w:r w:rsidR="00FC64A7">
              <w:rPr>
                <w:b/>
                <w:bCs/>
                <w:color w:val="0070C0"/>
                <w:sz w:val="28"/>
                <w:szCs w:val="28"/>
              </w:rPr>
              <w:t>5</w:t>
            </w:r>
            <w:r w:rsidR="00FC64A7" w:rsidRPr="00FC64A7">
              <w:rPr>
                <w:b/>
                <w:bCs/>
                <w:color w:val="0070C0"/>
                <w:sz w:val="28"/>
                <w:szCs w:val="28"/>
              </w:rPr>
              <w:t xml:space="preserve"> (Odborných panelů a Odborného orgánu hodnotitelů)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31F04C8A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B9151F">
              <w:rPr>
                <w:b/>
                <w:color w:val="0070C0"/>
                <w:sz w:val="28"/>
                <w:szCs w:val="28"/>
              </w:rPr>
              <w:t>14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FC64A7">
              <w:rPr>
                <w:b/>
                <w:color w:val="0070C0"/>
                <w:sz w:val="28"/>
                <w:szCs w:val="28"/>
              </w:rPr>
              <w:t>6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1A53E351" w:rsidR="005241A2" w:rsidRPr="002D3C4B" w:rsidRDefault="007C2180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</w:p>
        </w:tc>
      </w:tr>
      <w:tr w:rsidR="007C2180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7C2180" w:rsidRPr="008F77F6" w:rsidRDefault="007C2180" w:rsidP="007C2180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22103459" w:rsidR="007C2180" w:rsidRPr="002D3C4B" w:rsidRDefault="007C2180" w:rsidP="007C2180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r>
              <w:rPr>
                <w:i/>
              </w:rPr>
              <w:t xml:space="preserve">Miholová, Odbor podpory RVVI, </w:t>
            </w:r>
            <w:r w:rsidR="00FC64A7">
              <w:rPr>
                <w:i/>
              </w:rPr>
              <w:t>2</w:t>
            </w:r>
            <w:r w:rsidR="00FC64A7" w:rsidRPr="005B4BF6">
              <w:rPr>
                <w:i/>
              </w:rPr>
              <w:t xml:space="preserve">. </w:t>
            </w:r>
            <w:r w:rsidR="00FC64A7">
              <w:rPr>
                <w:i/>
              </w:rPr>
              <w:t>srpen 2025</w:t>
            </w:r>
          </w:p>
        </w:tc>
      </w:tr>
      <w:tr w:rsidR="007C2180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7C2180" w:rsidRPr="00AB734E" w:rsidRDefault="007C2180" w:rsidP="007C2180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4E13B014" w14:textId="7C243F80" w:rsidR="003A4BFB" w:rsidRPr="00FC64A7" w:rsidRDefault="00FC64A7" w:rsidP="00FC64A7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kern w:val="0"/>
                <w14:ligatures w14:val="none"/>
              </w:rPr>
            </w:pPr>
            <w:r w:rsidRPr="00FC64A7">
              <w:rPr>
                <w:kern w:val="0"/>
                <w14:ligatures w14:val="none"/>
              </w:rPr>
              <w:t>Rada pro výzkum, vývoj a inovace (dále je „Rada“) dle § 35 odst. 2 písm. d) zákona č. 130/2002 Sb. zabezpečuje hodnocení výsledků výzkumných organizací a výsledků ukončených programů podle Metodiky 2017+. Odborné panely (dále jen „OP“) a Odborný orgán hodnotitelů (dále jen „OOH“) byly ustaveny poradním orgánem Rady za účelem hodnocení. Za výkon této veřejné funkce náleží členům poradních orgánů odměna.</w:t>
            </w:r>
            <w:r w:rsidR="008358D0">
              <w:rPr>
                <w:kern w:val="0"/>
                <w14:ligatures w14:val="none"/>
              </w:rPr>
              <w:t xml:space="preserve"> </w:t>
            </w:r>
            <w:r w:rsidR="003A4BFB" w:rsidRPr="00F13F22">
              <w:t>Hlavními úkoly OP bylo zajištění distribuce výsledků zařazených do jim věcně příslušného oboru ke vzdálenému recenznímu posouzení externím hodnotitelům sdruženým v OOH, rozhodování ve sporných případech, příprava odborných komentářů k bibliometrickým zprávám za obory a</w:t>
            </w:r>
            <w:r w:rsidR="00E20BD6">
              <w:t> </w:t>
            </w:r>
            <w:r w:rsidR="003A4BFB" w:rsidRPr="00F13F22">
              <w:t>příprava souhrnných zpráv Modulu</w:t>
            </w:r>
            <w:r w:rsidR="008358D0">
              <w:t> </w:t>
            </w:r>
            <w:r w:rsidR="003A4BFB" w:rsidRPr="00F13F22">
              <w:t>1 a Modulu 2.</w:t>
            </w:r>
            <w:r w:rsidR="003A4BFB">
              <w:t xml:space="preserve"> Externí </w:t>
            </w:r>
            <w:r w:rsidR="009B07C3">
              <w:t>hodnotitelé</w:t>
            </w:r>
            <w:r w:rsidR="003A4BFB">
              <w:t xml:space="preserve"> </w:t>
            </w:r>
            <w:r w:rsidR="009B07C3">
              <w:t>vypracovali</w:t>
            </w:r>
            <w:r w:rsidR="003A4BFB">
              <w:t xml:space="preserve"> </w:t>
            </w:r>
            <w:r w:rsidR="00F32EB7">
              <w:t xml:space="preserve">v roce 2025 </w:t>
            </w:r>
            <w:r w:rsidR="009B07C3">
              <w:t>celkem</w:t>
            </w:r>
            <w:r w:rsidR="003A4BFB">
              <w:t xml:space="preserve"> </w:t>
            </w:r>
            <w:r w:rsidR="009B07C3">
              <w:t>3958 recenzních posouzení pro 2067 výsledků.</w:t>
            </w:r>
          </w:p>
          <w:p w14:paraId="56C91166" w14:textId="0586B1AC" w:rsidR="007C2180" w:rsidRPr="008358D0" w:rsidRDefault="003A4BFB" w:rsidP="00FC64A7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kern w:val="0"/>
                <w14:ligatures w14:val="none"/>
              </w:rPr>
            </w:pPr>
            <w:r w:rsidRPr="00FC64A7">
              <w:rPr>
                <w:kern w:val="0"/>
                <w14:ligatures w14:val="none"/>
              </w:rPr>
              <w:t xml:space="preserve">Navrhované výdaje spojené s hodnocením odpovídají ročním plánovaným výdajům. </w:t>
            </w:r>
            <w:r w:rsidR="00665EFB">
              <w:rPr>
                <w:kern w:val="0"/>
                <w14:ligatures w14:val="none"/>
              </w:rPr>
              <w:t xml:space="preserve"> Výše odměn </w:t>
            </w:r>
            <w:r w:rsidR="00665EFB" w:rsidRPr="00FC64A7">
              <w:rPr>
                <w:kern w:val="0"/>
                <w14:ligatures w14:val="none"/>
              </w:rPr>
              <w:t xml:space="preserve">činí </w:t>
            </w:r>
            <w:r w:rsidR="00665EFB">
              <w:rPr>
                <w:kern w:val="0"/>
                <w14:ligatures w14:val="none"/>
              </w:rPr>
              <w:t xml:space="preserve">za rok </w:t>
            </w:r>
            <w:r w:rsidR="00665EFB" w:rsidRPr="009B07C3">
              <w:rPr>
                <w:kern w:val="0"/>
                <w14:ligatures w14:val="none"/>
              </w:rPr>
              <w:t xml:space="preserve">celkem </w:t>
            </w:r>
            <w:r w:rsidR="00665EFB">
              <w:rPr>
                <w:kern w:val="0"/>
                <w14:ligatures w14:val="none"/>
              </w:rPr>
              <w:t xml:space="preserve">hrubého </w:t>
            </w:r>
            <w:r w:rsidR="00665EFB" w:rsidRPr="009B07C3">
              <w:rPr>
                <w:kern w:val="0"/>
                <w14:ligatures w14:val="none"/>
              </w:rPr>
              <w:t>15 000 000 Kč</w:t>
            </w:r>
            <w:r w:rsidR="00665EFB">
              <w:rPr>
                <w:kern w:val="0"/>
                <w14:ligatures w14:val="none"/>
              </w:rPr>
              <w:t xml:space="preserve"> plus zákonné odvody. </w:t>
            </w:r>
            <w:r w:rsidR="003A7DE9">
              <w:rPr>
                <w:kern w:val="0"/>
                <w14:ligatures w14:val="none"/>
              </w:rPr>
              <w:t xml:space="preserve">Oproti minulým letům bylo kalkulováno navýšení o 1 mil. Kč. Z toho </w:t>
            </w:r>
            <w:r w:rsidR="00F32EB7" w:rsidRPr="009B07C3">
              <w:rPr>
                <w:lang w:eastAsia="ar-SA"/>
              </w:rPr>
              <w:t>7 084 000</w:t>
            </w:r>
            <w:r w:rsidR="00F32EB7" w:rsidRPr="009B07C3">
              <w:rPr>
                <w:kern w:val="0"/>
                <w14:ligatures w14:val="none"/>
              </w:rPr>
              <w:t xml:space="preserve"> Kč </w:t>
            </w:r>
            <w:r w:rsidR="003A7DE9">
              <w:rPr>
                <w:kern w:val="0"/>
                <w14:ligatures w14:val="none"/>
              </w:rPr>
              <w:t xml:space="preserve">hrubého </w:t>
            </w:r>
            <w:r w:rsidR="00F32EB7" w:rsidRPr="009B07C3">
              <w:rPr>
                <w:kern w:val="0"/>
                <w14:ligatures w14:val="none"/>
              </w:rPr>
              <w:t xml:space="preserve">bude vyplaceno členům OP včetně koordinace hodnocení a </w:t>
            </w:r>
            <w:r w:rsidR="00F32EB7" w:rsidRPr="009B07C3">
              <w:rPr>
                <w:lang w:eastAsia="ar-SA"/>
              </w:rPr>
              <w:t>7 916 000</w:t>
            </w:r>
            <w:r w:rsidR="00F32EB7" w:rsidRPr="009B07C3">
              <w:rPr>
                <w:kern w:val="0"/>
                <w14:ligatures w14:val="none"/>
              </w:rPr>
              <w:t xml:space="preserve"> Kč </w:t>
            </w:r>
            <w:r w:rsidR="00665EFB">
              <w:rPr>
                <w:kern w:val="0"/>
                <w14:ligatures w14:val="none"/>
              </w:rPr>
              <w:t xml:space="preserve">hrubého </w:t>
            </w:r>
            <w:r w:rsidR="00F32EB7" w:rsidRPr="009B07C3">
              <w:rPr>
                <w:kern w:val="0"/>
                <w14:ligatures w14:val="none"/>
              </w:rPr>
              <w:t>členům OOH.</w:t>
            </w:r>
            <w:r w:rsidR="00F32EB7">
              <w:rPr>
                <w:kern w:val="0"/>
                <w14:ligatures w14:val="none"/>
              </w:rPr>
              <w:t xml:space="preserve"> </w:t>
            </w:r>
            <w:r w:rsidR="00FC64A7">
              <w:rPr>
                <w:kern w:val="0"/>
                <w14:ligatures w14:val="none"/>
              </w:rPr>
              <w:t>V souladu se schváleným rozpoč</w:t>
            </w:r>
            <w:r>
              <w:rPr>
                <w:kern w:val="0"/>
                <w14:ligatures w14:val="none"/>
              </w:rPr>
              <w:t xml:space="preserve">tem </w:t>
            </w:r>
            <w:r w:rsidR="003A7DE9">
              <w:rPr>
                <w:kern w:val="0"/>
                <w14:ligatures w14:val="none"/>
              </w:rPr>
              <w:t xml:space="preserve">tak mohla být </w:t>
            </w:r>
            <w:r w:rsidR="00FC64A7">
              <w:rPr>
                <w:kern w:val="0"/>
                <w14:ligatures w14:val="none"/>
              </w:rPr>
              <w:t xml:space="preserve">navýšena odměna </w:t>
            </w:r>
            <w:r>
              <w:rPr>
                <w:kern w:val="0"/>
                <w14:ligatures w14:val="none"/>
              </w:rPr>
              <w:t xml:space="preserve">pro členy OOH </w:t>
            </w:r>
            <w:r w:rsidR="00FC64A7">
              <w:rPr>
                <w:kern w:val="0"/>
                <w14:ligatures w14:val="none"/>
              </w:rPr>
              <w:t>za vyp</w:t>
            </w:r>
            <w:r>
              <w:rPr>
                <w:kern w:val="0"/>
                <w14:ligatures w14:val="none"/>
              </w:rPr>
              <w:t>racování jednotlivého posudku</w:t>
            </w:r>
            <w:r w:rsidR="00FC64A7">
              <w:rPr>
                <w:kern w:val="0"/>
                <w14:ligatures w14:val="none"/>
              </w:rPr>
              <w:t xml:space="preserve"> na 2</w:t>
            </w:r>
            <w:r w:rsidR="008358D0">
              <w:rPr>
                <w:kern w:val="0"/>
                <w14:ligatures w14:val="none"/>
              </w:rPr>
              <w:t xml:space="preserve"> </w:t>
            </w:r>
            <w:r w:rsidR="00FC64A7">
              <w:rPr>
                <w:kern w:val="0"/>
                <w14:ligatures w14:val="none"/>
              </w:rPr>
              <w:t xml:space="preserve">000 Kč </w:t>
            </w:r>
            <w:r w:rsidR="003A7DE9">
              <w:rPr>
                <w:kern w:val="0"/>
                <w14:ligatures w14:val="none"/>
              </w:rPr>
              <w:t xml:space="preserve">a </w:t>
            </w:r>
            <w:r w:rsidR="00E20BD6">
              <w:rPr>
                <w:kern w:val="0"/>
                <w14:ligatures w14:val="none"/>
              </w:rPr>
              <w:t>proporčně</w:t>
            </w:r>
            <w:r>
              <w:rPr>
                <w:kern w:val="0"/>
                <w14:ligatures w14:val="none"/>
              </w:rPr>
              <w:t xml:space="preserve"> </w:t>
            </w:r>
            <w:r w:rsidR="00FC64A7">
              <w:rPr>
                <w:kern w:val="0"/>
                <w14:ligatures w14:val="none"/>
              </w:rPr>
              <w:t>navýšeny odměny</w:t>
            </w:r>
            <w:r>
              <w:rPr>
                <w:kern w:val="0"/>
                <w14:ligatures w14:val="none"/>
              </w:rPr>
              <w:t xml:space="preserve"> pro členy</w:t>
            </w:r>
            <w:r w:rsidR="00FC64A7">
              <w:rPr>
                <w:kern w:val="0"/>
                <w14:ligatures w14:val="none"/>
              </w:rPr>
              <w:t xml:space="preserve"> OP. </w:t>
            </w:r>
            <w:r w:rsidR="00FC64A7" w:rsidRPr="00FC64A7">
              <w:rPr>
                <w:kern w:val="0"/>
                <w14:ligatures w14:val="none"/>
              </w:rPr>
              <w:t>Průměrná odměna pro předsedu OP je 1</w:t>
            </w:r>
            <w:r w:rsidR="009B07C3">
              <w:rPr>
                <w:kern w:val="0"/>
                <w14:ligatures w14:val="none"/>
              </w:rPr>
              <w:t>90 </w:t>
            </w:r>
            <w:r w:rsidR="00FC64A7" w:rsidRPr="00FC64A7">
              <w:rPr>
                <w:kern w:val="0"/>
                <w14:ligatures w14:val="none"/>
              </w:rPr>
              <w:t>000 Kč hrubého, průměrná odměna pro místopředsedu OP je 9</w:t>
            </w:r>
            <w:r w:rsidR="009B07C3">
              <w:rPr>
                <w:kern w:val="0"/>
                <w14:ligatures w14:val="none"/>
              </w:rPr>
              <w:t>5</w:t>
            </w:r>
            <w:r w:rsidR="00FC64A7" w:rsidRPr="00FC64A7">
              <w:rPr>
                <w:kern w:val="0"/>
                <w14:ligatures w14:val="none"/>
              </w:rPr>
              <w:t xml:space="preserve"> 000 Kč hrubého, průměrná odměna pro člena OP je </w:t>
            </w:r>
            <w:r w:rsidR="009B07C3">
              <w:rPr>
                <w:kern w:val="0"/>
                <w14:ligatures w14:val="none"/>
              </w:rPr>
              <w:t>6</w:t>
            </w:r>
            <w:r w:rsidR="00FC64A7" w:rsidRPr="00FC64A7">
              <w:rPr>
                <w:kern w:val="0"/>
                <w14:ligatures w14:val="none"/>
              </w:rPr>
              <w:t xml:space="preserve">5 </w:t>
            </w:r>
            <w:r w:rsidR="009B07C3">
              <w:rPr>
                <w:kern w:val="0"/>
                <w14:ligatures w14:val="none"/>
              </w:rPr>
              <w:t>0</w:t>
            </w:r>
            <w:r w:rsidR="00FC64A7" w:rsidRPr="00FC64A7">
              <w:rPr>
                <w:kern w:val="0"/>
                <w14:ligatures w14:val="none"/>
              </w:rPr>
              <w:t>00 Kč hrubého.</w:t>
            </w:r>
            <w:r w:rsidR="003A7DE9">
              <w:rPr>
                <w:kern w:val="0"/>
                <w14:ligatures w14:val="none"/>
              </w:rPr>
              <w:t xml:space="preserve"> Rozpis odměn mezi členy Odborných panelů </w:t>
            </w:r>
            <w:r w:rsidR="00665EFB">
              <w:rPr>
                <w:kern w:val="0"/>
                <w14:ligatures w14:val="none"/>
              </w:rPr>
              <w:t xml:space="preserve">navrhli </w:t>
            </w:r>
            <w:r w:rsidR="003A7DE9">
              <w:rPr>
                <w:kern w:val="0"/>
                <w14:ligatures w14:val="none"/>
              </w:rPr>
              <w:t xml:space="preserve">předsedové </w:t>
            </w:r>
            <w:r w:rsidR="00665EFB">
              <w:rPr>
                <w:kern w:val="0"/>
                <w14:ligatures w14:val="none"/>
              </w:rPr>
              <w:t xml:space="preserve">jednotlivých Odborných panelů </w:t>
            </w:r>
            <w:r w:rsidR="003A7DE9">
              <w:rPr>
                <w:kern w:val="0"/>
                <w14:ligatures w14:val="none"/>
              </w:rPr>
              <w:t>v závislosti na množství a kvalitě odvedené práce.</w:t>
            </w:r>
          </w:p>
        </w:tc>
      </w:tr>
      <w:tr w:rsidR="007C2180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55D6C04" w14:textId="77777777" w:rsidR="00FC64A7" w:rsidRPr="005B4BF6" w:rsidRDefault="00FC64A7" w:rsidP="00FC64A7">
            <w:pPr>
              <w:spacing w:before="120" w:after="120"/>
              <w:rPr>
                <w:b/>
                <w:bCs/>
                <w:i/>
              </w:rPr>
            </w:pPr>
            <w:r w:rsidRPr="005B4BF6">
              <w:rPr>
                <w:b/>
                <w:bCs/>
                <w:i/>
              </w:rPr>
              <w:t>Přílohy</w:t>
            </w:r>
          </w:p>
          <w:p w14:paraId="133F1304" w14:textId="5AF6607D" w:rsidR="007C2180" w:rsidRPr="00826B2F" w:rsidRDefault="00FC64A7" w:rsidP="00FC64A7">
            <w:pPr>
              <w:autoSpaceDE w:val="0"/>
              <w:autoSpaceDN w:val="0"/>
              <w:adjustRightInd w:val="0"/>
              <w:spacing w:before="120" w:after="120" w:line="240" w:lineRule="auto"/>
              <w:jc w:val="left"/>
            </w:pPr>
            <w:r>
              <w:rPr>
                <w:b/>
                <w:bCs/>
                <w:i/>
              </w:rPr>
              <w:t>4</w:t>
            </w:r>
            <w:r w:rsidR="00736214" w:rsidRPr="00736214">
              <w:rPr>
                <w:b/>
                <w:bCs/>
                <w:i/>
              </w:rPr>
              <w:t xml:space="preserve">14 A6 </w:t>
            </w:r>
            <w:proofErr w:type="spellStart"/>
            <w:r w:rsidR="00736214" w:rsidRPr="00736214">
              <w:rPr>
                <w:b/>
                <w:bCs/>
                <w:i/>
              </w:rPr>
              <w:t>Zpravy</w:t>
            </w:r>
            <w:proofErr w:type="spellEnd"/>
            <w:r w:rsidR="00736214" w:rsidRPr="00736214">
              <w:rPr>
                <w:b/>
                <w:bCs/>
                <w:i/>
              </w:rPr>
              <w:t xml:space="preserve"> o </w:t>
            </w:r>
            <w:proofErr w:type="spellStart"/>
            <w:r w:rsidR="00736214" w:rsidRPr="00736214">
              <w:rPr>
                <w:b/>
                <w:bCs/>
                <w:i/>
              </w:rPr>
              <w:t>cinnosti</w:t>
            </w:r>
            <w:proofErr w:type="spellEnd"/>
            <w:r w:rsidR="00736214" w:rsidRPr="00736214">
              <w:rPr>
                <w:b/>
                <w:bCs/>
                <w:i/>
              </w:rPr>
              <w:t xml:space="preserve"> </w:t>
            </w:r>
            <w:proofErr w:type="spellStart"/>
            <w:r w:rsidR="00736214" w:rsidRPr="00736214">
              <w:rPr>
                <w:b/>
                <w:bCs/>
                <w:i/>
              </w:rPr>
              <w:t>poradnich</w:t>
            </w:r>
            <w:proofErr w:type="spellEnd"/>
            <w:r w:rsidR="00736214" w:rsidRPr="00736214">
              <w:rPr>
                <w:b/>
                <w:bCs/>
                <w:i/>
              </w:rPr>
              <w:t xml:space="preserve"> organu RVVI za rok 2025 (OP a OOH)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7C6212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4**/</w:t>
            </w:r>
            <w:proofErr w:type="spellStart"/>
            <w:r w:rsidR="00144F5B" w:rsidRPr="00144F5B">
              <w:rPr>
                <w:sz w:val="16"/>
                <w:szCs w:val="16"/>
              </w:rPr>
              <w:t>Axx</w:t>
            </w:r>
            <w:proofErr w:type="spellEnd"/>
            <w:r w:rsidR="00144F5B">
              <w:t xml:space="preserve"> </w:t>
            </w:r>
            <w:r w:rsidR="00144F5B" w:rsidRPr="00144F5B">
              <w:rPr>
                <w:sz w:val="16"/>
                <w:szCs w:val="16"/>
              </w:rPr>
              <w:t>Název materiálu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9"/>
  </w:num>
  <w:num w:numId="3" w16cid:durableId="1893038338">
    <w:abstractNumId w:val="4"/>
  </w:num>
  <w:num w:numId="4" w16cid:durableId="1786805665">
    <w:abstractNumId w:val="6"/>
  </w:num>
  <w:num w:numId="5" w16cid:durableId="1264728757">
    <w:abstractNumId w:val="10"/>
  </w:num>
  <w:num w:numId="6" w16cid:durableId="1901821760">
    <w:abstractNumId w:val="7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1"/>
  </w:num>
  <w:num w:numId="10" w16cid:durableId="1837643966">
    <w:abstractNumId w:val="8"/>
  </w:num>
  <w:num w:numId="11" w16cid:durableId="796532185">
    <w:abstractNumId w:val="0"/>
  </w:num>
  <w:num w:numId="12" w16cid:durableId="2033064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236D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6A82"/>
    <w:rsid w:val="001B45CA"/>
    <w:rsid w:val="001C1526"/>
    <w:rsid w:val="001C2E95"/>
    <w:rsid w:val="001C6179"/>
    <w:rsid w:val="001D5F3B"/>
    <w:rsid w:val="001E1924"/>
    <w:rsid w:val="001F517B"/>
    <w:rsid w:val="002107E9"/>
    <w:rsid w:val="002241CF"/>
    <w:rsid w:val="00227952"/>
    <w:rsid w:val="00242E30"/>
    <w:rsid w:val="0025704A"/>
    <w:rsid w:val="00282845"/>
    <w:rsid w:val="00287E2E"/>
    <w:rsid w:val="00293AEA"/>
    <w:rsid w:val="002A2FD0"/>
    <w:rsid w:val="002C0726"/>
    <w:rsid w:val="002D3C4B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A4BFB"/>
    <w:rsid w:val="003A7DE9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5E1408"/>
    <w:rsid w:val="00602F23"/>
    <w:rsid w:val="00604B45"/>
    <w:rsid w:val="006079D1"/>
    <w:rsid w:val="006255C0"/>
    <w:rsid w:val="00627E3D"/>
    <w:rsid w:val="00635765"/>
    <w:rsid w:val="00665EFB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36214"/>
    <w:rsid w:val="00741D89"/>
    <w:rsid w:val="007439F1"/>
    <w:rsid w:val="0076698B"/>
    <w:rsid w:val="00766AC5"/>
    <w:rsid w:val="00776A33"/>
    <w:rsid w:val="007A407A"/>
    <w:rsid w:val="007C2180"/>
    <w:rsid w:val="007D3504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358D0"/>
    <w:rsid w:val="00840107"/>
    <w:rsid w:val="0084124B"/>
    <w:rsid w:val="00841C3F"/>
    <w:rsid w:val="008517B5"/>
    <w:rsid w:val="00855B4C"/>
    <w:rsid w:val="00871B74"/>
    <w:rsid w:val="00883DEA"/>
    <w:rsid w:val="00884B6A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B07C3"/>
    <w:rsid w:val="009E228F"/>
    <w:rsid w:val="009F556F"/>
    <w:rsid w:val="009F5EEB"/>
    <w:rsid w:val="00A640A5"/>
    <w:rsid w:val="00A65C3C"/>
    <w:rsid w:val="00A75A40"/>
    <w:rsid w:val="00A822FF"/>
    <w:rsid w:val="00A84F49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10312"/>
    <w:rsid w:val="00B20ED5"/>
    <w:rsid w:val="00B24765"/>
    <w:rsid w:val="00B33F61"/>
    <w:rsid w:val="00B415B3"/>
    <w:rsid w:val="00B445C0"/>
    <w:rsid w:val="00B45E88"/>
    <w:rsid w:val="00B5350F"/>
    <w:rsid w:val="00B67680"/>
    <w:rsid w:val="00B73C81"/>
    <w:rsid w:val="00B80711"/>
    <w:rsid w:val="00B9151F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74B4"/>
    <w:rsid w:val="00C71728"/>
    <w:rsid w:val="00C7658A"/>
    <w:rsid w:val="00C77162"/>
    <w:rsid w:val="00C77C97"/>
    <w:rsid w:val="00C84197"/>
    <w:rsid w:val="00C91565"/>
    <w:rsid w:val="00C92FC9"/>
    <w:rsid w:val="00CA3238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20BD6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2EB7"/>
    <w:rsid w:val="00F3487E"/>
    <w:rsid w:val="00F47E34"/>
    <w:rsid w:val="00F70093"/>
    <w:rsid w:val="00F84D65"/>
    <w:rsid w:val="00F86F06"/>
    <w:rsid w:val="00FA009E"/>
    <w:rsid w:val="00FB668D"/>
    <w:rsid w:val="00FC64A7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uiPriority w:val="22"/>
    <w:qFormat/>
    <w:rsid w:val="007C21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72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Lucie Rulíková</cp:lastModifiedBy>
  <cp:revision>12</cp:revision>
  <cp:lastPrinted>2025-02-25T12:21:00Z</cp:lastPrinted>
  <dcterms:created xsi:type="dcterms:W3CDTF">2025-09-01T09:39:00Z</dcterms:created>
  <dcterms:modified xsi:type="dcterms:W3CDTF">2025-09-25T06:55:00Z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